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AD2" w:rsidRPr="00FF3AD2" w:rsidRDefault="0044785F" w:rsidP="00FF3AD2">
      <w:pPr>
        <w:pStyle w:val="Paragrafoelenco"/>
        <w:spacing w:after="100" w:afterAutospacing="1" w:line="276" w:lineRule="auto"/>
        <w:ind w:left="780"/>
        <w:jc w:val="right"/>
        <w:rPr>
          <w:rFonts w:ascii="Gadugi" w:hAnsi="Gadugi" w:cstheme="minorHAnsi"/>
          <w:sz w:val="20"/>
          <w:szCs w:val="24"/>
        </w:rPr>
      </w:pPr>
      <w:r w:rsidRPr="004A5704">
        <w:rPr>
          <w:rFonts w:ascii="Gadugi" w:hAnsi="Gadugi" w:cstheme="minorHAnsi"/>
          <w:sz w:val="20"/>
          <w:szCs w:val="24"/>
        </w:rPr>
        <w:t xml:space="preserve">Allegato </w:t>
      </w:r>
      <w:r w:rsidR="005637DF" w:rsidRPr="004A5704">
        <w:rPr>
          <w:rFonts w:ascii="Gadugi" w:hAnsi="Gadugi" w:cstheme="minorHAnsi"/>
          <w:sz w:val="20"/>
          <w:szCs w:val="24"/>
        </w:rPr>
        <w:t>A</w:t>
      </w:r>
      <w:r w:rsidR="00FF3AD2">
        <w:rPr>
          <w:rFonts w:ascii="Gadugi" w:hAnsi="Gadugi" w:cstheme="minorHAnsi"/>
          <w:sz w:val="20"/>
          <w:szCs w:val="24"/>
        </w:rPr>
        <w:t xml:space="preserve"> </w:t>
      </w:r>
      <w:r w:rsidR="00FF3AD2" w:rsidRPr="00FF3AD2">
        <w:rPr>
          <w:rFonts w:ascii="Gadugi" w:hAnsi="Gadugi" w:cstheme="minorHAnsi"/>
          <w:sz w:val="20"/>
          <w:szCs w:val="24"/>
        </w:rPr>
        <w:t>(bozza del capitolato)</w:t>
      </w:r>
    </w:p>
    <w:p w:rsidR="00302EB2" w:rsidRPr="00302EB2" w:rsidRDefault="00302EB2" w:rsidP="00302EB2">
      <w:pPr>
        <w:spacing w:after="0" w:line="240" w:lineRule="auto"/>
        <w:rPr>
          <w:rFonts w:ascii="Gadugi" w:hAnsi="Gadugi" w:cstheme="minorHAnsi"/>
          <w:i/>
          <w:sz w:val="20"/>
          <w:szCs w:val="24"/>
        </w:rPr>
      </w:pPr>
      <w:bookmarkStart w:id="0" w:name="_GoBack"/>
      <w:bookmarkEnd w:id="0"/>
      <w:r w:rsidRPr="00302EB2">
        <w:rPr>
          <w:rFonts w:ascii="Gadugi" w:hAnsi="Gadugi" w:cstheme="minorHAnsi"/>
          <w:i/>
          <w:sz w:val="20"/>
          <w:szCs w:val="24"/>
        </w:rPr>
        <w:t>I dispositivi offerti dovranno essere conformi al Normativa vigente sui Dispositivi Medici, in particolare nel rispetto di quanto previsto all’art.120 “Disposizioni transitorie” del Nuovo Regolamento (UE) 2017/745 e alle successive modifiche introdotte dal Regolamento UE 2020/561 e dal Regolamento UE 2023/607.</w:t>
      </w:r>
    </w:p>
    <w:p w:rsidR="00302EB2" w:rsidRDefault="00302EB2" w:rsidP="00D93BD2">
      <w:pPr>
        <w:spacing w:after="0" w:line="240" w:lineRule="auto"/>
        <w:rPr>
          <w:rFonts w:ascii="Gadugi" w:hAnsi="Gadugi" w:cstheme="minorHAnsi"/>
          <w:sz w:val="20"/>
          <w:szCs w:val="24"/>
        </w:rPr>
      </w:pPr>
    </w:p>
    <w:p w:rsidR="00302EB2" w:rsidRDefault="00302EB2" w:rsidP="00D93BD2">
      <w:pPr>
        <w:spacing w:after="0" w:line="240" w:lineRule="auto"/>
        <w:rPr>
          <w:rFonts w:ascii="Gadugi" w:hAnsi="Gadugi" w:cstheme="minorHAnsi"/>
          <w:sz w:val="20"/>
          <w:szCs w:val="24"/>
        </w:rPr>
      </w:pPr>
    </w:p>
    <w:p w:rsidR="0044785F" w:rsidRDefault="00D93BD2" w:rsidP="00D93BD2">
      <w:pPr>
        <w:spacing w:after="0" w:line="240" w:lineRule="auto"/>
        <w:rPr>
          <w:rFonts w:ascii="Gadugi" w:hAnsi="Gadugi" w:cstheme="minorHAnsi"/>
          <w:sz w:val="20"/>
          <w:szCs w:val="24"/>
        </w:rPr>
      </w:pPr>
      <w:r>
        <w:rPr>
          <w:rFonts w:ascii="Gadugi" w:hAnsi="Gadugi" w:cstheme="minorHAnsi"/>
          <w:sz w:val="20"/>
          <w:szCs w:val="24"/>
        </w:rPr>
        <w:t>ELENCO LOTTI</w:t>
      </w:r>
    </w:p>
    <w:p w:rsidR="00D93BD2" w:rsidRDefault="00D93BD2" w:rsidP="0044785F">
      <w:pPr>
        <w:spacing w:after="0" w:line="240" w:lineRule="auto"/>
        <w:jc w:val="right"/>
        <w:rPr>
          <w:rFonts w:ascii="Gadugi" w:hAnsi="Gadugi" w:cstheme="minorHAnsi"/>
          <w:sz w:val="20"/>
          <w:szCs w:val="24"/>
        </w:rPr>
      </w:pPr>
    </w:p>
    <w:tbl>
      <w:tblPr>
        <w:tblW w:w="9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5"/>
        <w:gridCol w:w="6630"/>
        <w:gridCol w:w="1535"/>
      </w:tblGrid>
      <w:tr w:rsidR="00D93BD2" w:rsidRPr="00D93BD2" w:rsidTr="00D93BD2">
        <w:trPr>
          <w:trHeight w:val="4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b/>
                <w:bCs/>
                <w:sz w:val="16"/>
                <w:szCs w:val="16"/>
                <w:lang w:eastAsia="it-IT"/>
              </w:rPr>
              <w:t>NUOVO LOTTO</w:t>
            </w: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b/>
                <w:bCs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b/>
                <w:bCs/>
                <w:sz w:val="16"/>
                <w:szCs w:val="16"/>
                <w:lang w:eastAsia="it-IT"/>
              </w:rPr>
              <w:t>DESCRIZIONE 2023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b/>
                <w:bCs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b/>
                <w:bCs/>
                <w:sz w:val="16"/>
                <w:szCs w:val="16"/>
                <w:lang w:eastAsia="it-IT"/>
              </w:rPr>
              <w:t>UM</w:t>
            </w:r>
          </w:p>
        </w:tc>
      </w:tr>
      <w:tr w:rsidR="00D93BD2" w:rsidRPr="00D93BD2" w:rsidTr="00D93BD2">
        <w:trPr>
          <w:trHeight w:val="11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Acido ialuronico sale sodico: tra 2% e 2,5% per utilizzo intraoculare</w:t>
            </w: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 xml:space="preserve">Peso molecolare: tra 2,8 e 4 milioni di dalton </w:t>
            </w: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>viscosità: tra 4.000.000 e 7.500.000 </w:t>
            </w: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>volume ≥ 0,50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1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Acido ialuronico sale sodico: tra 1,4% e 1,8%, per </w:t>
            </w: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utlizzo</w:t>
            </w:r>
            <w:proofErr w:type="spellEnd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 intraoculare</w:t>
            </w: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 xml:space="preserve">Peso molecolare: tra 3,2 e 5,5 milioni di dalton </w:t>
            </w: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 xml:space="preserve">viscosità: tra 2.000.000 e 3.000.000 </w:t>
            </w: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>volume ≥ 0,50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Acido ialuronico sale sodico tra 1,5% e 2% per utilizzo intraoculare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Peso molecolare: tra 2 e 4 milioni di dalton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viscosità: tra 250.000 e 600.000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volume: ≥ 0,80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Acido ialuronico sale sodico: tra 1% e 1,4%, per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utlizzo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intraoculare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Peso molecolare: tra 2 e 4 milioni di dalton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viscosità: tra 100.000 e 300.000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 ≥ 0,50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12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Acido ialuronico sale sodico tra 1,2% e 1,8% per utilizzo intraoculare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Peso molecolare: tra 1 e 1,2 milioni di dalton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viscosità: circa 60.000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volume: ≥ 0,80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10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6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Acido ialuronico sale sodico: tra 1,6% e 1,8% per utilizzo intraoculare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Peso molecolare: tra 0,8 e 1,4 milioni di dalton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viscosità: tra 18.000 e 20.000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volume: ≥ 0,80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Acido ialuronico sale sodico: tra 1,2% e 1,4% per utilizzo intraoculare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Peso molecolare: tra 1 e 1,2 milioni di dalton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viscosità: tra 10.000 e 12.000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volume: ≥ 0,80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18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Acido ialuronico sale sodico: tra 2% e 3%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Peso molecolare &gt;500.000 Dalton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+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Condroitin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sodiosolfato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: tra 2% e 4%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Peso molecolare &gt;22.000 Dalton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viscosità: 20.000 e 60.000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volume  ≥ 0,75 ml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(o prodotto funzionalmente equivalente)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19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lastRenderedPageBreak/>
              <w:t>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Acido ialuronico sale sodico: tra 1,7% e 2%,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Peso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molecoalre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: 1,7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mDa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+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Condroitin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sodio solfato: tra 2% e 4%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Peso molecolare: circa 22.500 Da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viscosità: 40.000 e 110.000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mPas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 xml:space="preserve">volume ≥ 1 ml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(o prodotto funzionalmente equivalente)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fiala/siringa preriempita</w:t>
            </w:r>
          </w:p>
        </w:tc>
      </w:tr>
      <w:tr w:rsidR="00D93BD2" w:rsidRPr="00D93BD2" w:rsidTr="00D93BD2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Trypan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blu colorante endoculare 0,1%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 ≥ 0,70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</w:t>
            </w:r>
          </w:p>
        </w:tc>
      </w:tr>
      <w:tr w:rsidR="00D93BD2" w:rsidRPr="00D93BD2" w:rsidTr="00D93BD2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Trypan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blu colorante endoculare 0,05%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 ≥ 0,70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</w:t>
            </w:r>
          </w:p>
        </w:tc>
      </w:tr>
      <w:tr w:rsidR="00D93BD2" w:rsidRPr="00D93BD2" w:rsidTr="00D93BD2">
        <w:trPr>
          <w:trHeight w:val="10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Associazione di 2 coloranti (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trypan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blue e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blulife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) per la contestuale colorazione della membrana ILM e della membrana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epiretinica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in chirurgia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vitroretinica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fiala/flacone/siringa</w:t>
            </w:r>
          </w:p>
        </w:tc>
      </w:tr>
      <w:tr w:rsidR="00D93BD2" w:rsidRPr="00D93BD2" w:rsidTr="00D93BD2">
        <w:trPr>
          <w:trHeight w:val="10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Associazione di 2 coloranti (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trypan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blue e blu brillante) per la contestuale colorazione della membrana ILM e della membrana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epiretinica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in chirurgia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vitroretinica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fiala/flacone/siringa</w:t>
            </w:r>
          </w:p>
        </w:tc>
      </w:tr>
      <w:tr w:rsidR="00D93BD2" w:rsidRPr="00D93BD2" w:rsidTr="00D93BD2">
        <w:trPr>
          <w:trHeight w:val="10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Associazione di 3 coloranti per la contestuale colorazione della membrana ILM e della membrana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epiretinica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in chirurgia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vitroretinica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fiala/flacone/siringa</w:t>
            </w:r>
          </w:p>
        </w:tc>
      </w:tr>
      <w:tr w:rsidR="00D93BD2" w:rsidRPr="00D93BD2" w:rsidTr="00D93BD2">
        <w:trPr>
          <w:trHeight w:val="7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15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Colorante </w:t>
            </w: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Blulife</w:t>
            </w:r>
            <w:proofErr w:type="spellEnd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 per la colorazione della ILM in chirurgia </w:t>
            </w: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vitreoretinica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fiala/flacone/siringa</w:t>
            </w:r>
          </w:p>
        </w:tc>
      </w:tr>
      <w:tr w:rsidR="00D93BD2" w:rsidRPr="00D93BD2" w:rsidTr="00D93BD2">
        <w:trPr>
          <w:trHeight w:val="24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16</w:t>
            </w:r>
          </w:p>
        </w:tc>
        <w:tc>
          <w:tcPr>
            <w:tcW w:w="6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Kit per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iontoforesi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+ Riboflavina 0,1%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vol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1,5ml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</w:t>
            </w:r>
          </w:p>
        </w:tc>
      </w:tr>
      <w:tr w:rsidR="00D93BD2" w:rsidRPr="00D93BD2" w:rsidTr="00D93BD2">
        <w:trPr>
          <w:trHeight w:val="40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</w:p>
        </w:tc>
        <w:tc>
          <w:tcPr>
            <w:tcW w:w="6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</w:p>
        </w:tc>
      </w:tr>
      <w:tr w:rsidR="00D93BD2" w:rsidRPr="00D93BD2" w:rsidTr="00D93BD2">
        <w:trPr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17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Idrossipropilmetilcellulosa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: 2% - 2,5% 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soluzione sterile</w:t>
            </w: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br/>
              <w:t>volume 15/30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fiala/flacone</w:t>
            </w:r>
          </w:p>
        </w:tc>
      </w:tr>
      <w:tr w:rsidR="00D93BD2" w:rsidRPr="00D93BD2" w:rsidTr="00D93BD2">
        <w:trPr>
          <w:trHeight w:val="11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18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Soluzione limpida e viscosa in confezionamento monodose sterile per il mantenimento della idratazione corneale in corso di chirurgia oculare ed eventualmente consente la posizione di lente a contatto: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idrossipropilmetilcellulosa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HPMC&gt;2%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flacone monodose sterile</w:t>
            </w:r>
          </w:p>
        </w:tc>
      </w:tr>
      <w:tr w:rsidR="00D93BD2" w:rsidRPr="00D93BD2" w:rsidTr="00D93BD2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19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Soluzione salina bilanciata sterile arricchita con destrosio, </w:t>
            </w:r>
            <w:proofErr w:type="spellStart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glutatione</w:t>
            </w:r>
            <w:proofErr w:type="spellEnd"/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 xml:space="preserve"> e bicarbonato in flacone da 500 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 vetro</w:t>
            </w:r>
          </w:p>
        </w:tc>
      </w:tr>
      <w:tr w:rsidR="00D93BD2" w:rsidRPr="00D93BD2" w:rsidTr="00D93BD2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20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Soluzione salina bilanciata oftalmica sterile </w:t>
            </w: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 xml:space="preserve">tra 15 e 30 ml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fiala/flacone</w:t>
            </w:r>
          </w:p>
        </w:tc>
      </w:tr>
      <w:tr w:rsidR="00D93BD2" w:rsidRPr="00D93BD2" w:rsidTr="00D93BD2">
        <w:trPr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21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Soluzione salina bilanciata oftalmica sterile da 500ml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sz w:val="16"/>
                <w:szCs w:val="16"/>
                <w:lang w:eastAsia="it-IT"/>
              </w:rPr>
              <w:t>fiala/flacone vetro</w:t>
            </w:r>
          </w:p>
        </w:tc>
      </w:tr>
      <w:tr w:rsidR="00D93BD2" w:rsidRPr="00D93BD2" w:rsidTr="00D93BD2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22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Riboflavina 0,1%, max 3ml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fiala/flacone</w:t>
            </w:r>
          </w:p>
        </w:tc>
      </w:tr>
      <w:tr w:rsidR="00D93BD2" w:rsidRPr="00D93BD2" w:rsidTr="00D93BD2">
        <w:trPr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23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Triamcinolone</w:t>
            </w:r>
            <w:proofErr w:type="spellEnd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acetonide</w:t>
            </w:r>
            <w:proofErr w:type="spellEnd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 sospensione oftalmica 4% </w:t>
            </w: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br/>
              <w:t>volume ≥ 2ml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fiala/flacone</w:t>
            </w:r>
          </w:p>
        </w:tc>
      </w:tr>
      <w:tr w:rsidR="00D93BD2" w:rsidRPr="00D93BD2" w:rsidTr="00D93BD2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lastRenderedPageBreak/>
              <w:t>24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 xml:space="preserve">Striscioline graduate per test di </w:t>
            </w:r>
            <w:proofErr w:type="spellStart"/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schirmer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BD2" w:rsidRPr="00D93BD2" w:rsidRDefault="00D93BD2" w:rsidP="00D93BD2">
            <w:pPr>
              <w:spacing w:after="0" w:line="240" w:lineRule="auto"/>
              <w:jc w:val="center"/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</w:pPr>
            <w:r w:rsidRPr="00D93BD2">
              <w:rPr>
                <w:rFonts w:ascii="Gadugi" w:eastAsia="Times New Roman" w:hAnsi="Gadugi" w:cs="Calibri"/>
                <w:color w:val="000000"/>
                <w:sz w:val="16"/>
                <w:szCs w:val="16"/>
                <w:lang w:eastAsia="it-IT"/>
              </w:rPr>
              <w:t>striscia</w:t>
            </w:r>
          </w:p>
        </w:tc>
      </w:tr>
    </w:tbl>
    <w:p w:rsidR="00D93BD2" w:rsidRDefault="00D93BD2" w:rsidP="0044785F">
      <w:pPr>
        <w:spacing w:after="0" w:line="240" w:lineRule="auto"/>
        <w:jc w:val="right"/>
        <w:rPr>
          <w:rFonts w:ascii="Gadugi" w:hAnsi="Gadugi" w:cstheme="minorHAnsi"/>
          <w:sz w:val="20"/>
          <w:szCs w:val="24"/>
        </w:rPr>
      </w:pPr>
    </w:p>
    <w:sectPr w:rsidR="00D93BD2" w:rsidSect="006A6910">
      <w:footerReference w:type="default" r:id="rId8"/>
      <w:headerReference w:type="first" r:id="rId9"/>
      <w:footerReference w:type="first" r:id="rId10"/>
      <w:pgSz w:w="11906" w:h="16838" w:code="9"/>
      <w:pgMar w:top="851" w:right="85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FF4" w:rsidRDefault="00384FF4" w:rsidP="005E3F34">
      <w:pPr>
        <w:spacing w:after="0" w:line="240" w:lineRule="auto"/>
      </w:pPr>
      <w:r>
        <w:separator/>
      </w:r>
    </w:p>
  </w:endnote>
  <w:endnote w:type="continuationSeparator" w:id="0">
    <w:p w:rsidR="00384FF4" w:rsidRDefault="00384FF4" w:rsidP="005E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FF4" w:rsidRDefault="00384FF4" w:rsidP="00CB7263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Theme="minorHAnsi" w:hAnsiTheme="minorHAnsi" w:cstheme="minorHAnsi"/>
        <w:b/>
        <w:sz w:val="20"/>
        <w:szCs w:val="20"/>
      </w:rPr>
    </w:pPr>
  </w:p>
  <w:p w:rsidR="00384FF4" w:rsidRDefault="00384FF4" w:rsidP="00CB7263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Theme="minorHAnsi" w:hAnsiTheme="minorHAnsi" w:cstheme="minorHAnsi"/>
        <w:b/>
        <w:sz w:val="20"/>
        <w:szCs w:val="20"/>
      </w:rPr>
    </w:pPr>
    <w:r w:rsidRPr="00063C75">
      <w:rPr>
        <w:rFonts w:asciiTheme="minorHAnsi" w:hAnsiTheme="minorHAnsi" w:cstheme="minorHAnsi"/>
        <w:b/>
        <w:noProof/>
        <w:sz w:val="16"/>
        <w:szCs w:val="16"/>
        <w:lang w:eastAsia="it-IT"/>
      </w:rPr>
      <w:drawing>
        <wp:inline distT="0" distB="0" distL="0" distR="0" wp14:anchorId="575EFF94" wp14:editId="727FA26F">
          <wp:extent cx="3488400" cy="338400"/>
          <wp:effectExtent l="0" t="0" r="0" b="5080"/>
          <wp:docPr id="2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88400" cy="33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FF4" w:rsidRDefault="00384FF4" w:rsidP="00D07A9B">
    <w:pPr>
      <w:suppressAutoHyphens/>
      <w:spacing w:after="0" w:line="20" w:lineRule="atLeast"/>
      <w:ind w:right="-2"/>
      <w:rPr>
        <w:rFonts w:ascii="Gadugi" w:eastAsia="Calibri" w:hAnsi="Gadugi"/>
        <w:color w:val="00000A"/>
        <w:sz w:val="16"/>
        <w:szCs w:val="16"/>
      </w:rPr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inline distT="0" distB="0" distL="0" distR="0">
              <wp:extent cx="6478330" cy="45719"/>
              <wp:effectExtent l="0" t="0" r="0" b="0"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47833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0A1757E" id="Rettangolo 10" o:spid="_x0000_s1026" alt="Titolo: Segno grafico - Descrizione: Barra separatrice grigia" style="width:510.1pt;height:3.6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" fillcolor="#2e74b5 [2404]" stroked="f" strokeweight="1pt"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FF4" w:rsidRDefault="00384FF4" w:rsidP="005E3F34">
      <w:pPr>
        <w:spacing w:after="0" w:line="240" w:lineRule="auto"/>
      </w:pPr>
      <w:r>
        <w:separator/>
      </w:r>
    </w:p>
  </w:footnote>
  <w:footnote w:type="continuationSeparator" w:id="0">
    <w:p w:rsidR="00384FF4" w:rsidRDefault="00384FF4" w:rsidP="005E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FF4" w:rsidRPr="00855951" w:rsidRDefault="00384FF4" w:rsidP="008E4BC4">
    <w:pPr>
      <w:pStyle w:val="Intestazione"/>
      <w:tabs>
        <w:tab w:val="clear" w:pos="4819"/>
        <w:tab w:val="clear" w:pos="9638"/>
        <w:tab w:val="left" w:pos="527"/>
      </w:tabs>
      <w:jc w:val="right"/>
      <w:rPr>
        <w:rFonts w:ascii="Garamond" w:hAnsi="Garamond"/>
      </w:rPr>
    </w:pPr>
    <w:r>
      <w:rPr>
        <w:rFonts w:ascii="Times New Roman" w:hAnsi="Times New Roman"/>
        <w:noProof/>
        <w:sz w:val="22"/>
        <w:szCs w:val="24"/>
        <w:lang w:eastAsia="it-IT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431800</wp:posOffset>
              </wp:positionH>
              <wp:positionV relativeFrom="paragraph">
                <wp:posOffset>714603</wp:posOffset>
              </wp:positionV>
              <wp:extent cx="4139565" cy="342900"/>
              <wp:effectExtent l="0" t="0" r="0" b="0"/>
              <wp:wrapNone/>
              <wp:docPr id="12" name="Casella di tes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39565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384FF4" w:rsidRPr="006A6910" w:rsidRDefault="00384FF4" w:rsidP="009C6140">
                          <w:pPr>
                            <w:jc w:val="right"/>
                            <w:rPr>
                              <w:rFonts w:ascii="Gadugi" w:hAnsi="Gadug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Gadugi" w:hAnsi="Gadugi"/>
                              <w:sz w:val="20"/>
                              <w:szCs w:val="20"/>
                            </w:rPr>
                            <w:t xml:space="preserve">Acquisizione beni e servizi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" o:spid="_x0000_s1026" type="#_x0000_t202" style="position:absolute;left:0;text-align:left;margin-left:34pt;margin-top:56.25pt;width:325.9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" fillcolor="white [3201]" stroked="f" strokeweight=".5pt">
              <v:textbox inset=",,0">
                <w:txbxContent>
                  <w:p w:rsidR="00384FF4" w:rsidRPr="006A6910" w:rsidRDefault="00384FF4" w:rsidP="009C6140">
                    <w:pPr>
                      <w:jc w:val="right"/>
                      <w:rPr>
                        <w:rFonts w:ascii="Gadugi" w:hAnsi="Gadugi"/>
                        <w:sz w:val="20"/>
                        <w:szCs w:val="20"/>
                      </w:rPr>
                    </w:pPr>
                    <w:r>
                      <w:rPr>
                        <w:rFonts w:ascii="Gadugi" w:hAnsi="Gadugi"/>
                        <w:sz w:val="20"/>
                        <w:szCs w:val="20"/>
                      </w:rPr>
                      <w:t xml:space="preserve">Acquisizione beni e servizi </w:t>
                    </w:r>
                  </w:p>
                </w:txbxContent>
              </v:textbox>
            </v:shape>
          </w:pict>
        </mc:Fallback>
      </mc:AlternateContent>
    </w:r>
    <w:r w:rsidRPr="00254225">
      <w:rPr>
        <w:rFonts w:ascii="Times New Roman" w:hAnsi="Times New Roman"/>
        <w:noProof/>
        <w:sz w:val="22"/>
        <w:szCs w:val="24"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E8A5CC6" wp14:editId="7D16046C">
              <wp:simplePos x="0" y="0"/>
              <wp:positionH relativeFrom="margin">
                <wp:posOffset>635</wp:posOffset>
              </wp:positionH>
              <wp:positionV relativeFrom="paragraph">
                <wp:posOffset>661670</wp:posOffset>
              </wp:positionV>
              <wp:extent cx="4570730" cy="53340"/>
              <wp:effectExtent l="0" t="0" r="1270" b="3810"/>
              <wp:wrapTopAndBottom/>
              <wp:docPr id="3" name="Rettangolo 3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570730" cy="5334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BA4269" id="Rettangolo 3" o:spid="_x0000_s1026" alt="Titolo: Segno grafico - Descrizione: Barra separatrice grigia" style="position:absolute;margin-left:.05pt;margin-top:52.1pt;width:359.9pt;height:4.2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" fillcolor="#a5a5a5 [2092]" stroked="f" strokeweight="1pt">
              <w10:wrap type="topAndBottom" anchorx="margin"/>
            </v:rect>
          </w:pict>
        </mc:Fallback>
      </mc:AlternateContent>
    </w:r>
    <w:r>
      <w:rPr>
        <w:rFonts w:ascii="Gadugi" w:eastAsia="Calibri" w:hAnsi="Gadugi"/>
        <w:noProof/>
        <w:color w:val="00000A"/>
        <w:sz w:val="14"/>
        <w:szCs w:val="14"/>
        <w:lang w:eastAsia="it-IT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4718685</wp:posOffset>
          </wp:positionH>
          <wp:positionV relativeFrom="paragraph">
            <wp:posOffset>-114300</wp:posOffset>
          </wp:positionV>
          <wp:extent cx="1756410" cy="1150620"/>
          <wp:effectExtent l="0" t="0" r="0" b="0"/>
          <wp:wrapTopAndBottom/>
          <wp:docPr id="11" name="Immagine 11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RCS FVG-colori-orizzontale-varian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410" cy="1150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584C"/>
    <w:multiLevelType w:val="hybridMultilevel"/>
    <w:tmpl w:val="DAE042D2"/>
    <w:lvl w:ilvl="0" w:tplc="F002249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24E"/>
    <w:multiLevelType w:val="hybridMultilevel"/>
    <w:tmpl w:val="DB504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2E643E6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4133"/>
    <w:multiLevelType w:val="hybridMultilevel"/>
    <w:tmpl w:val="4B0EC68A"/>
    <w:lvl w:ilvl="0" w:tplc="AAF61E52">
      <w:start w:val="1"/>
      <w:numFmt w:val="decimal"/>
      <w:lvlText w:val="%1."/>
      <w:lvlJc w:val="left"/>
      <w:pPr>
        <w:ind w:left="720" w:hanging="360"/>
      </w:pPr>
      <w:rPr>
        <w:rFonts w:ascii="Gadugi" w:hAnsi="Gadug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F3A40"/>
    <w:multiLevelType w:val="hybridMultilevel"/>
    <w:tmpl w:val="5732A5C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2E643E6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325E6"/>
    <w:multiLevelType w:val="hybridMultilevel"/>
    <w:tmpl w:val="D55CC0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167AC348">
      <w:start w:val="1"/>
      <w:numFmt w:val="lowerLetter"/>
      <w:lvlText w:val="%2."/>
      <w:lvlJc w:val="left"/>
      <w:pPr>
        <w:ind w:left="1440" w:hanging="360"/>
      </w:pPr>
      <w:rPr>
        <w:color w:val="auto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90C1E"/>
    <w:multiLevelType w:val="hybridMultilevel"/>
    <w:tmpl w:val="F794B3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2E643E6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50151"/>
    <w:multiLevelType w:val="hybridMultilevel"/>
    <w:tmpl w:val="2310799E"/>
    <w:lvl w:ilvl="0" w:tplc="0410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8465D5D"/>
    <w:multiLevelType w:val="hybridMultilevel"/>
    <w:tmpl w:val="2310799E"/>
    <w:lvl w:ilvl="0" w:tplc="0410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B971615"/>
    <w:multiLevelType w:val="hybridMultilevel"/>
    <w:tmpl w:val="177A2BF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C22220"/>
    <w:multiLevelType w:val="hybridMultilevel"/>
    <w:tmpl w:val="0B98114A"/>
    <w:lvl w:ilvl="0" w:tplc="8856B876">
      <w:start w:val="1"/>
      <w:numFmt w:val="decimal"/>
      <w:lvlText w:val="%1."/>
      <w:lvlJc w:val="left"/>
      <w:pPr>
        <w:ind w:left="928" w:hanging="360"/>
      </w:pPr>
      <w:rPr>
        <w:rFonts w:ascii="Gadugi" w:hAnsi="Gadugi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F1E8A"/>
    <w:multiLevelType w:val="hybridMultilevel"/>
    <w:tmpl w:val="9BE896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362EFF96">
      <w:start w:val="4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D614C"/>
    <w:multiLevelType w:val="hybridMultilevel"/>
    <w:tmpl w:val="E044536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1E7F1C"/>
    <w:multiLevelType w:val="hybridMultilevel"/>
    <w:tmpl w:val="4D8C67D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96118"/>
    <w:multiLevelType w:val="hybridMultilevel"/>
    <w:tmpl w:val="372C14F6"/>
    <w:lvl w:ilvl="0" w:tplc="C52EE810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70AB7"/>
    <w:multiLevelType w:val="hybridMultilevel"/>
    <w:tmpl w:val="773E11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F338FF"/>
    <w:multiLevelType w:val="hybridMultilevel"/>
    <w:tmpl w:val="8FAC1C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6EE192A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  <w:szCs w:val="22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60690"/>
    <w:multiLevelType w:val="hybridMultilevel"/>
    <w:tmpl w:val="DEB2D5C0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60924A1"/>
    <w:multiLevelType w:val="hybridMultilevel"/>
    <w:tmpl w:val="E28A6176"/>
    <w:lvl w:ilvl="0" w:tplc="862E0B54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78641DB"/>
    <w:multiLevelType w:val="hybridMultilevel"/>
    <w:tmpl w:val="66ECE7B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6EB44E6D"/>
    <w:multiLevelType w:val="hybridMultilevel"/>
    <w:tmpl w:val="4E64E2FE"/>
    <w:lvl w:ilvl="0" w:tplc="ED34769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722BD"/>
    <w:multiLevelType w:val="hybridMultilevel"/>
    <w:tmpl w:val="2310799E"/>
    <w:lvl w:ilvl="0" w:tplc="0410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19D6961"/>
    <w:multiLevelType w:val="hybridMultilevel"/>
    <w:tmpl w:val="740A168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F1475"/>
    <w:multiLevelType w:val="hybridMultilevel"/>
    <w:tmpl w:val="F7C607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F4BDF"/>
    <w:multiLevelType w:val="hybridMultilevel"/>
    <w:tmpl w:val="BA64FD6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2"/>
  </w:num>
  <w:num w:numId="10">
    <w:abstractNumId w:val="21"/>
  </w:num>
  <w:num w:numId="11">
    <w:abstractNumId w:val="11"/>
  </w:num>
  <w:num w:numId="12">
    <w:abstractNumId w:val="4"/>
  </w:num>
  <w:num w:numId="13">
    <w:abstractNumId w:val="7"/>
  </w:num>
  <w:num w:numId="14">
    <w:abstractNumId w:val="20"/>
  </w:num>
  <w:num w:numId="15">
    <w:abstractNumId w:val="6"/>
  </w:num>
  <w:num w:numId="16">
    <w:abstractNumId w:val="19"/>
  </w:num>
  <w:num w:numId="17">
    <w:abstractNumId w:val="9"/>
  </w:num>
  <w:num w:numId="18">
    <w:abstractNumId w:val="1"/>
  </w:num>
  <w:num w:numId="19">
    <w:abstractNumId w:val="16"/>
  </w:num>
  <w:num w:numId="20">
    <w:abstractNumId w:val="23"/>
  </w:num>
  <w:num w:numId="21">
    <w:abstractNumId w:val="15"/>
  </w:num>
  <w:num w:numId="22">
    <w:abstractNumId w:val="14"/>
  </w:num>
  <w:num w:numId="23">
    <w:abstractNumId w:val="0"/>
  </w:num>
  <w:num w:numId="2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F34"/>
    <w:rsid w:val="00023D54"/>
    <w:rsid w:val="00030514"/>
    <w:rsid w:val="00046CC8"/>
    <w:rsid w:val="0006080C"/>
    <w:rsid w:val="00063C75"/>
    <w:rsid w:val="00071CD9"/>
    <w:rsid w:val="00086BBF"/>
    <w:rsid w:val="000870D2"/>
    <w:rsid w:val="000921B7"/>
    <w:rsid w:val="000A7C1B"/>
    <w:rsid w:val="000B7A17"/>
    <w:rsid w:val="000C1C4F"/>
    <w:rsid w:val="000C40F2"/>
    <w:rsid w:val="000C55E4"/>
    <w:rsid w:val="000D285E"/>
    <w:rsid w:val="000E2C85"/>
    <w:rsid w:val="000F180E"/>
    <w:rsid w:val="001013A5"/>
    <w:rsid w:val="00106243"/>
    <w:rsid w:val="00106C79"/>
    <w:rsid w:val="001107D2"/>
    <w:rsid w:val="0011320E"/>
    <w:rsid w:val="00124540"/>
    <w:rsid w:val="001404DA"/>
    <w:rsid w:val="00181F64"/>
    <w:rsid w:val="00181FE1"/>
    <w:rsid w:val="00186514"/>
    <w:rsid w:val="00187F43"/>
    <w:rsid w:val="001C4012"/>
    <w:rsid w:val="001D10C8"/>
    <w:rsid w:val="001E0903"/>
    <w:rsid w:val="001E1C2B"/>
    <w:rsid w:val="001E3C6A"/>
    <w:rsid w:val="001E421D"/>
    <w:rsid w:val="001E4672"/>
    <w:rsid w:val="0020506A"/>
    <w:rsid w:val="00231442"/>
    <w:rsid w:val="002350D4"/>
    <w:rsid w:val="00254225"/>
    <w:rsid w:val="002717AA"/>
    <w:rsid w:val="0027532A"/>
    <w:rsid w:val="002929D4"/>
    <w:rsid w:val="00293BEE"/>
    <w:rsid w:val="00296BFD"/>
    <w:rsid w:val="002C59FC"/>
    <w:rsid w:val="002D1D52"/>
    <w:rsid w:val="002D4A2F"/>
    <w:rsid w:val="00302EB2"/>
    <w:rsid w:val="0030674B"/>
    <w:rsid w:val="00314261"/>
    <w:rsid w:val="00351589"/>
    <w:rsid w:val="00352BE2"/>
    <w:rsid w:val="003568DD"/>
    <w:rsid w:val="00361521"/>
    <w:rsid w:val="003648CB"/>
    <w:rsid w:val="00364FEF"/>
    <w:rsid w:val="00374332"/>
    <w:rsid w:val="003756FA"/>
    <w:rsid w:val="00382F75"/>
    <w:rsid w:val="00384FF4"/>
    <w:rsid w:val="00391A84"/>
    <w:rsid w:val="003924B9"/>
    <w:rsid w:val="003A0E74"/>
    <w:rsid w:val="003A284F"/>
    <w:rsid w:val="003A45A9"/>
    <w:rsid w:val="003B4CDD"/>
    <w:rsid w:val="003B5E4B"/>
    <w:rsid w:val="00402A12"/>
    <w:rsid w:val="00403FF9"/>
    <w:rsid w:val="00432BF5"/>
    <w:rsid w:val="00437AE3"/>
    <w:rsid w:val="00440B19"/>
    <w:rsid w:val="00446E97"/>
    <w:rsid w:val="0044785F"/>
    <w:rsid w:val="00463372"/>
    <w:rsid w:val="00485B61"/>
    <w:rsid w:val="004A1F1D"/>
    <w:rsid w:val="004A5704"/>
    <w:rsid w:val="004C3938"/>
    <w:rsid w:val="004C43C1"/>
    <w:rsid w:val="004D1B06"/>
    <w:rsid w:val="004E42C6"/>
    <w:rsid w:val="00512C81"/>
    <w:rsid w:val="00532D2E"/>
    <w:rsid w:val="00536A6E"/>
    <w:rsid w:val="00551496"/>
    <w:rsid w:val="005515DB"/>
    <w:rsid w:val="00553682"/>
    <w:rsid w:val="00560B53"/>
    <w:rsid w:val="005637DF"/>
    <w:rsid w:val="00566CE7"/>
    <w:rsid w:val="0056752E"/>
    <w:rsid w:val="005720E6"/>
    <w:rsid w:val="0057239A"/>
    <w:rsid w:val="00573425"/>
    <w:rsid w:val="00583479"/>
    <w:rsid w:val="0059216D"/>
    <w:rsid w:val="005A086B"/>
    <w:rsid w:val="005A2E30"/>
    <w:rsid w:val="005A7910"/>
    <w:rsid w:val="005C05C3"/>
    <w:rsid w:val="005D3CDD"/>
    <w:rsid w:val="005D7BE6"/>
    <w:rsid w:val="005E0235"/>
    <w:rsid w:val="005E0CC8"/>
    <w:rsid w:val="005E3DC3"/>
    <w:rsid w:val="005E3F34"/>
    <w:rsid w:val="00607FAC"/>
    <w:rsid w:val="00612425"/>
    <w:rsid w:val="00612ADD"/>
    <w:rsid w:val="00615F4A"/>
    <w:rsid w:val="00636A62"/>
    <w:rsid w:val="00657B50"/>
    <w:rsid w:val="00670A6E"/>
    <w:rsid w:val="0067769F"/>
    <w:rsid w:val="006A570E"/>
    <w:rsid w:val="006A6910"/>
    <w:rsid w:val="006A6D6E"/>
    <w:rsid w:val="006B2DE0"/>
    <w:rsid w:val="006B478A"/>
    <w:rsid w:val="006B6951"/>
    <w:rsid w:val="006C3AB4"/>
    <w:rsid w:val="006C4D27"/>
    <w:rsid w:val="006C7629"/>
    <w:rsid w:val="006E0A8D"/>
    <w:rsid w:val="006E62C2"/>
    <w:rsid w:val="006F75F7"/>
    <w:rsid w:val="007169DB"/>
    <w:rsid w:val="00732775"/>
    <w:rsid w:val="00734653"/>
    <w:rsid w:val="00740FB5"/>
    <w:rsid w:val="007413C2"/>
    <w:rsid w:val="00741E78"/>
    <w:rsid w:val="00743E4F"/>
    <w:rsid w:val="0074653C"/>
    <w:rsid w:val="0075114A"/>
    <w:rsid w:val="00764C1B"/>
    <w:rsid w:val="00792F17"/>
    <w:rsid w:val="00794CD0"/>
    <w:rsid w:val="007A168F"/>
    <w:rsid w:val="007A2683"/>
    <w:rsid w:val="007A2DF0"/>
    <w:rsid w:val="007A4FB2"/>
    <w:rsid w:val="007A65E5"/>
    <w:rsid w:val="007D1BE0"/>
    <w:rsid w:val="007F0C0B"/>
    <w:rsid w:val="007F132E"/>
    <w:rsid w:val="00800D7D"/>
    <w:rsid w:val="008303EE"/>
    <w:rsid w:val="0086597A"/>
    <w:rsid w:val="00885F79"/>
    <w:rsid w:val="008A35B0"/>
    <w:rsid w:val="008D1736"/>
    <w:rsid w:val="008D3DFB"/>
    <w:rsid w:val="008D5157"/>
    <w:rsid w:val="008D6218"/>
    <w:rsid w:val="008E139F"/>
    <w:rsid w:val="008E4BC4"/>
    <w:rsid w:val="0090540A"/>
    <w:rsid w:val="009113D4"/>
    <w:rsid w:val="0095217B"/>
    <w:rsid w:val="009614DB"/>
    <w:rsid w:val="009646C4"/>
    <w:rsid w:val="00970E6A"/>
    <w:rsid w:val="009A7B84"/>
    <w:rsid w:val="009B69E5"/>
    <w:rsid w:val="009C6140"/>
    <w:rsid w:val="009D24F5"/>
    <w:rsid w:val="009E72C1"/>
    <w:rsid w:val="00A00DAC"/>
    <w:rsid w:val="00A12DBB"/>
    <w:rsid w:val="00A14694"/>
    <w:rsid w:val="00A146DC"/>
    <w:rsid w:val="00A17F88"/>
    <w:rsid w:val="00A20A28"/>
    <w:rsid w:val="00A34B94"/>
    <w:rsid w:val="00A47326"/>
    <w:rsid w:val="00A50D80"/>
    <w:rsid w:val="00A575B6"/>
    <w:rsid w:val="00A650C7"/>
    <w:rsid w:val="00A745D7"/>
    <w:rsid w:val="00A816AD"/>
    <w:rsid w:val="00AB60BD"/>
    <w:rsid w:val="00AC3C15"/>
    <w:rsid w:val="00AE64E1"/>
    <w:rsid w:val="00AE7008"/>
    <w:rsid w:val="00B17FDD"/>
    <w:rsid w:val="00B24155"/>
    <w:rsid w:val="00B40BFC"/>
    <w:rsid w:val="00B43E6B"/>
    <w:rsid w:val="00B45A46"/>
    <w:rsid w:val="00B671C5"/>
    <w:rsid w:val="00B722A9"/>
    <w:rsid w:val="00B81417"/>
    <w:rsid w:val="00BD2270"/>
    <w:rsid w:val="00BD37A8"/>
    <w:rsid w:val="00BD4DD3"/>
    <w:rsid w:val="00BE02F8"/>
    <w:rsid w:val="00BF30A2"/>
    <w:rsid w:val="00BF3122"/>
    <w:rsid w:val="00C06671"/>
    <w:rsid w:val="00C077FE"/>
    <w:rsid w:val="00C12D33"/>
    <w:rsid w:val="00C1463D"/>
    <w:rsid w:val="00C25735"/>
    <w:rsid w:val="00C67DB2"/>
    <w:rsid w:val="00C85959"/>
    <w:rsid w:val="00C9474B"/>
    <w:rsid w:val="00CA21D5"/>
    <w:rsid w:val="00CA5706"/>
    <w:rsid w:val="00CB3404"/>
    <w:rsid w:val="00CB7263"/>
    <w:rsid w:val="00CC62D0"/>
    <w:rsid w:val="00CD6F66"/>
    <w:rsid w:val="00CE2E32"/>
    <w:rsid w:val="00D07A9B"/>
    <w:rsid w:val="00D214EF"/>
    <w:rsid w:val="00D338C7"/>
    <w:rsid w:val="00D4160D"/>
    <w:rsid w:val="00D45764"/>
    <w:rsid w:val="00D46BED"/>
    <w:rsid w:val="00D52475"/>
    <w:rsid w:val="00D67664"/>
    <w:rsid w:val="00D706E6"/>
    <w:rsid w:val="00D7169A"/>
    <w:rsid w:val="00D8799C"/>
    <w:rsid w:val="00D87F98"/>
    <w:rsid w:val="00D93BD2"/>
    <w:rsid w:val="00D94C8D"/>
    <w:rsid w:val="00D965DC"/>
    <w:rsid w:val="00DA608C"/>
    <w:rsid w:val="00DB0998"/>
    <w:rsid w:val="00DC17B7"/>
    <w:rsid w:val="00DD0B2B"/>
    <w:rsid w:val="00DE241F"/>
    <w:rsid w:val="00DE3368"/>
    <w:rsid w:val="00DE6A6B"/>
    <w:rsid w:val="00DF2D70"/>
    <w:rsid w:val="00E03BD2"/>
    <w:rsid w:val="00E03EEC"/>
    <w:rsid w:val="00E10DE8"/>
    <w:rsid w:val="00E14EDC"/>
    <w:rsid w:val="00E20C90"/>
    <w:rsid w:val="00E5268E"/>
    <w:rsid w:val="00E54057"/>
    <w:rsid w:val="00E72712"/>
    <w:rsid w:val="00E72A46"/>
    <w:rsid w:val="00E77385"/>
    <w:rsid w:val="00E805FE"/>
    <w:rsid w:val="00E863EC"/>
    <w:rsid w:val="00E9014B"/>
    <w:rsid w:val="00E9543B"/>
    <w:rsid w:val="00E97B4F"/>
    <w:rsid w:val="00EB75CA"/>
    <w:rsid w:val="00ED12B7"/>
    <w:rsid w:val="00EE0360"/>
    <w:rsid w:val="00EE615E"/>
    <w:rsid w:val="00EF609B"/>
    <w:rsid w:val="00F27CDC"/>
    <w:rsid w:val="00F31D75"/>
    <w:rsid w:val="00F40FA3"/>
    <w:rsid w:val="00F45F9F"/>
    <w:rsid w:val="00F558B9"/>
    <w:rsid w:val="00F86BE3"/>
    <w:rsid w:val="00F9344E"/>
    <w:rsid w:val="00FB0469"/>
    <w:rsid w:val="00FC1C27"/>
    <w:rsid w:val="00FD6040"/>
    <w:rsid w:val="00FE486F"/>
    <w:rsid w:val="00FF3AD2"/>
    <w:rsid w:val="00FF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272A795"/>
  <w15:chartTrackingRefBased/>
  <w15:docId w15:val="{53CECC9C-0A60-4050-B102-C6433B8E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7910"/>
    <w:rPr>
      <w:rFonts w:ascii="Century Gothic" w:hAnsi="Century Gothic"/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46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181F64"/>
    <w:pPr>
      <w:keepNext/>
      <w:spacing w:after="0" w:line="240" w:lineRule="auto"/>
      <w:jc w:val="both"/>
      <w:outlineLvl w:val="2"/>
    </w:pPr>
    <w:rPr>
      <w:rFonts w:ascii="Tahoma" w:eastAsia="Times New Roman" w:hAnsi="Tahoma" w:cs="Tahoma"/>
      <w:b/>
      <w:bCs/>
      <w:sz w:val="22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5E3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5E3F34"/>
    <w:rPr>
      <w:rFonts w:ascii="Century Gothic" w:hAnsi="Century Gothic"/>
      <w:sz w:val="24"/>
    </w:rPr>
  </w:style>
  <w:style w:type="paragraph" w:styleId="Pidipagina">
    <w:name w:val="footer"/>
    <w:basedOn w:val="Normale"/>
    <w:link w:val="PidipaginaCarattere"/>
    <w:unhideWhenUsed/>
    <w:rsid w:val="005E3F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5E3F34"/>
    <w:rPr>
      <w:rFonts w:ascii="Century Gothic" w:hAnsi="Century Gothic"/>
      <w:sz w:val="24"/>
    </w:rPr>
  </w:style>
  <w:style w:type="table" w:styleId="Grigliatabella">
    <w:name w:val="Table Grid"/>
    <w:basedOn w:val="Tabellanormale"/>
    <w:uiPriority w:val="39"/>
    <w:rsid w:val="005E3F34"/>
    <w:pPr>
      <w:spacing w:after="0" w:line="240" w:lineRule="auto"/>
    </w:pPr>
    <w:rPr>
      <w:rFonts w:ascii="Century Gothic" w:hAnsi="Century Gothic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5E3F34"/>
    <w:pPr>
      <w:widowControl w:val="0"/>
      <w:spacing w:after="0" w:line="240" w:lineRule="auto"/>
      <w:jc w:val="center"/>
    </w:pPr>
    <w:rPr>
      <w:rFonts w:ascii="Arial" w:eastAsia="MS Mincho" w:hAnsi="Arial" w:cs="Arial"/>
      <w:sz w:val="16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5E3F34"/>
    <w:rPr>
      <w:rFonts w:ascii="Arial" w:eastAsia="MS Mincho" w:hAnsi="Arial" w:cs="Arial"/>
      <w:sz w:val="16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5E3F34"/>
    <w:rPr>
      <w:color w:val="808080"/>
    </w:rPr>
  </w:style>
  <w:style w:type="character" w:styleId="Enfasigrassetto">
    <w:name w:val="Strong"/>
    <w:basedOn w:val="Carpredefinitoparagrafo"/>
    <w:qFormat/>
    <w:rsid w:val="005E3F34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A745D7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3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3425"/>
    <w:rPr>
      <w:rFonts w:ascii="Segoe UI" w:hAnsi="Segoe UI" w:cs="Segoe UI"/>
      <w:sz w:val="18"/>
      <w:szCs w:val="18"/>
    </w:rPr>
  </w:style>
  <w:style w:type="character" w:styleId="Enfasiintensa">
    <w:name w:val="Intense Emphasis"/>
    <w:basedOn w:val="Carpredefinitoparagrafo"/>
    <w:uiPriority w:val="21"/>
    <w:qFormat/>
    <w:rsid w:val="0067769F"/>
    <w:rPr>
      <w:i/>
      <w:iCs/>
      <w:color w:val="5B9BD5" w:themeColor="accent1"/>
    </w:rPr>
  </w:style>
  <w:style w:type="paragraph" w:styleId="Paragrafoelenco">
    <w:name w:val="List Paragraph"/>
    <w:basedOn w:val="Normale"/>
    <w:uiPriority w:val="34"/>
    <w:qFormat/>
    <w:rsid w:val="00FB0469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181F64"/>
    <w:rPr>
      <w:rFonts w:ascii="Tahoma" w:eastAsia="Times New Roman" w:hAnsi="Tahoma" w:cs="Tahoma"/>
      <w:b/>
      <w:bCs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181F6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181F6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3924B9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customStyle="1" w:styleId="Corpodeltesto22">
    <w:name w:val="Corpo del testo 22"/>
    <w:basedOn w:val="Normale"/>
    <w:rsid w:val="003924B9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46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Nessunelenco1">
    <w:name w:val="Nessun elenco1"/>
    <w:next w:val="Nessunelenco"/>
    <w:uiPriority w:val="99"/>
    <w:semiHidden/>
    <w:unhideWhenUsed/>
    <w:rsid w:val="00DF2D70"/>
  </w:style>
  <w:style w:type="paragraph" w:styleId="Corpotesto">
    <w:name w:val="Body Text"/>
    <w:basedOn w:val="Normale"/>
    <w:link w:val="CorpotestoCarattere"/>
    <w:uiPriority w:val="99"/>
    <w:semiHidden/>
    <w:unhideWhenUsed/>
    <w:rsid w:val="00DF2D7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F2D7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F2D7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2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2D7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F2D7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F2D7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ui-provider">
    <w:name w:val="ui-provider"/>
    <w:basedOn w:val="Carpredefinitoparagrafo"/>
    <w:rsid w:val="00302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DB2BE-85A8-408D-82F1-61A75F13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Arcese</dc:creator>
  <cp:keywords/>
  <dc:description/>
  <cp:lastModifiedBy>Chiara Cemulini</cp:lastModifiedBy>
  <cp:revision>3</cp:revision>
  <cp:lastPrinted>2023-07-27T13:54:00Z</cp:lastPrinted>
  <dcterms:created xsi:type="dcterms:W3CDTF">2023-07-27T13:55:00Z</dcterms:created>
  <dcterms:modified xsi:type="dcterms:W3CDTF">2023-07-27T13:55:00Z</dcterms:modified>
</cp:coreProperties>
</file>